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 xml:space="preserve">السياحة والمجتمع المحلي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 w:rsidRPr="00D13196">
              <w:rPr>
                <w:rFonts w:hint="cs"/>
                <w:rtl/>
              </w:rPr>
              <w:t>2603316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320D93" w:rsidRPr="00B56D20" w:rsidRDefault="00320D93" w:rsidP="00E628A9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320D93" w:rsidRPr="00B56D20" w:rsidRDefault="00320D93" w:rsidP="00E628A9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320D93" w:rsidRPr="00B56D20" w:rsidTr="00E628A9">
        <w:trPr>
          <w:trHeight w:val="354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320D93" w:rsidRPr="00B56D20" w:rsidTr="00E628A9">
        <w:trPr>
          <w:trHeight w:val="399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السنة الثانية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320D93" w:rsidRPr="00B56D20" w:rsidRDefault="00320D93" w:rsidP="00E628A9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Del="000E10C1" w:rsidRDefault="00320D93" w:rsidP="00E628A9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320D93" w:rsidRPr="00B56D20" w:rsidTr="00E628A9">
        <w:trPr>
          <w:trHeight w:val="399"/>
          <w:jc w:val="right"/>
        </w:trPr>
        <w:tc>
          <w:tcPr>
            <w:tcW w:w="5670" w:type="dxa"/>
            <w:vAlign w:val="center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320D93" w:rsidRPr="00B56D20" w:rsidTr="00E628A9">
        <w:trPr>
          <w:trHeight w:val="307"/>
          <w:jc w:val="right"/>
        </w:trPr>
        <w:tc>
          <w:tcPr>
            <w:tcW w:w="5670" w:type="dxa"/>
          </w:tcPr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320D93" w:rsidRPr="00B56D20" w:rsidRDefault="00320D93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320D93" w:rsidRPr="00B56D20" w:rsidRDefault="00320D93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320D93" w:rsidRPr="00B56D20" w:rsidRDefault="00320D93" w:rsidP="00320D93">
      <w:pPr>
        <w:pStyle w:val="ps1Char"/>
        <w:rPr>
          <w:rtl/>
        </w:rPr>
      </w:pPr>
    </w:p>
    <w:p w:rsidR="00320D93" w:rsidRPr="00B56D20" w:rsidRDefault="00320D93" w:rsidP="00320D93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320D93" w:rsidRPr="00B56D20" w:rsidTr="00E628A9">
        <w:trPr>
          <w:trHeight w:val="830"/>
        </w:trPr>
        <w:tc>
          <w:tcPr>
            <w:tcW w:w="10080" w:type="dxa"/>
          </w:tcPr>
          <w:p w:rsidR="00320D93" w:rsidRPr="00B56D20" w:rsidRDefault="00320D93" w:rsidP="00E628A9">
            <w:pPr>
              <w:pStyle w:val="ps1Char"/>
            </w:pPr>
            <w:r w:rsidRPr="00B56D20">
              <w:rPr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320D93" w:rsidRPr="002F43BA" w:rsidRDefault="00320D93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320D93" w:rsidRPr="002F43BA" w:rsidRDefault="00320D93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320D93" w:rsidRPr="00AD6D68" w:rsidRDefault="00320D93" w:rsidP="00E628A9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320D93" w:rsidRPr="00B56D20" w:rsidRDefault="00320D93" w:rsidP="00320D93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20D93" w:rsidRPr="00B56D20" w:rsidTr="00E628A9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93" w:rsidRDefault="00320D93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320D93" w:rsidRPr="002F43BA" w:rsidRDefault="00320D93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320D93" w:rsidRPr="002F43BA" w:rsidRDefault="00320D93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320D93" w:rsidRPr="00AD6D68" w:rsidRDefault="00320D93" w:rsidP="00E628A9">
            <w:pPr>
              <w:pStyle w:val="ps1Char"/>
              <w:rPr>
                <w:rtl/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320D93" w:rsidRPr="00B56D20" w:rsidRDefault="00320D93" w:rsidP="00320D93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20D93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93" w:rsidRPr="00B56D20" w:rsidRDefault="00320D93" w:rsidP="00E628A9">
            <w:pPr>
              <w:pStyle w:val="ps1Char"/>
            </w:pPr>
            <w:r w:rsidRPr="00B56D20">
              <w:rPr>
                <w:rFonts w:hint="cs"/>
                <w:rtl/>
              </w:rPr>
              <w:lastRenderedPageBreak/>
              <w:t>كما هو مذكور في الخطة الدراسية المعتمدة</w:t>
            </w:r>
            <w:r w:rsidRPr="00B56D20">
              <w:t>.</w:t>
            </w:r>
          </w:p>
          <w:p w:rsidR="00320D93" w:rsidRPr="00AD6D68" w:rsidRDefault="00320D93" w:rsidP="00E628A9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يتناول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هذا المساق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>مفهوم السياحة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وأهميتها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>ومميزات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ها من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مختلف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جوانبها، كما يتناول مفهوم المجتمع المحلي، وارتباط المفهومين ببعضهما البعض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الى جانب مفهوم المشاركة الجماهيرية والمشاركة الشعبية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 وتوضيح اهمية السياحة للمجتمع المحلي واهمية المحافظة عليه، وبيان مدي تأثير السياحة على المجتمع المحلي وتطويره</w:t>
            </w:r>
            <w:r w:rsidRPr="00D13196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، </w:t>
            </w:r>
            <w:r w:rsidRPr="00D1319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وقدرة المجتمع المحلي على استيعاب مفهوم السياحة والتفاعل معه.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كما يتم عرض بعض النماذج لمشاريع محلية ومدى تأثر المجتمع المحلي بها.</w:t>
            </w:r>
          </w:p>
        </w:tc>
      </w:tr>
    </w:tbl>
    <w:p w:rsidR="00320D93" w:rsidRPr="00B56D20" w:rsidRDefault="00320D93" w:rsidP="00320D93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320D93" w:rsidRPr="00B56D20" w:rsidRDefault="00320D93" w:rsidP="00320D93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تدريس 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320D93" w:rsidRPr="00B56D20" w:rsidTr="00E628A9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320D93" w:rsidRDefault="00320D93" w:rsidP="00E628A9">
            <w:pPr>
              <w:pStyle w:val="ps1Char"/>
              <w:rPr>
                <w:lang w:bidi="ar-JO"/>
              </w:rPr>
            </w:pPr>
            <w:r w:rsidRPr="00B56D20">
              <w:rPr>
                <w:rFonts w:hint="cs"/>
                <w:rtl/>
                <w:lang w:bidi="ar-JO"/>
              </w:rPr>
              <w:t>أ- الأهداف:</w:t>
            </w:r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lang w:bidi="ar-JO"/>
              </w:rPr>
              <w:t xml:space="preserve"> </w:t>
            </w:r>
            <w:r w:rsidRPr="00C54947">
              <w:rPr>
                <w:rtl/>
                <w:lang w:bidi="ar-JO"/>
              </w:rPr>
              <w:t>يهدف مساق</w:t>
            </w:r>
            <w:r>
              <w:rPr>
                <w:rFonts w:hint="cs"/>
                <w:rtl/>
                <w:lang w:bidi="ar-JO"/>
              </w:rPr>
              <w:t xml:space="preserve"> السياحة الدينية في الأردن إلى</w:t>
            </w:r>
          </w:p>
          <w:p w:rsidR="00320D93" w:rsidRDefault="00320D93" w:rsidP="00320D93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288"/>
                <w:tab w:val="right" w:pos="648"/>
              </w:tabs>
              <w:ind w:left="468" w:hanging="18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تزويد </w:t>
            </w:r>
            <w:r w:rsidRPr="00C54947">
              <w:rPr>
                <w:rtl/>
                <w:lang w:bidi="ar-JO"/>
              </w:rPr>
              <w:t>الطالب بالمفاهيم الأساسية المتعلقة</w:t>
            </w:r>
            <w:r>
              <w:rPr>
                <w:rFonts w:hint="cs"/>
                <w:rtl/>
                <w:lang w:bidi="ar-JO"/>
              </w:rPr>
              <w:t xml:space="preserve"> بالسياحة.</w:t>
            </w:r>
          </w:p>
          <w:p w:rsidR="00320D93" w:rsidRDefault="00320D93" w:rsidP="00320D93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288"/>
                <w:tab w:val="right" w:pos="648"/>
              </w:tabs>
              <w:ind w:left="468" w:hanging="180"/>
              <w:jc w:val="both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تعريف الطالب بمفهوم المجتمع المحلي ، المشاركة الشعبية ، المشاركة الجماهيرية .</w:t>
            </w:r>
          </w:p>
          <w:p w:rsidR="00320D93" w:rsidRPr="00C8043C" w:rsidRDefault="00320D93" w:rsidP="00320D93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توضيح اهمية اشراك المجتمع المحلي في المشاريع السياحية التنموية لمناطقهم وفوائده سواءا المادية او الثقافية.</w:t>
            </w:r>
          </w:p>
          <w:p w:rsidR="00320D93" w:rsidRPr="00C8043C" w:rsidRDefault="00320D93" w:rsidP="00320D93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468" w:hanging="18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C8043C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توضيح مدى تأثير برامج المشاريع السياحية في تغيير العادات والتقاليد للمجتمع المحلي ومدى تقبل المجتمع المحلي لهذه البرامج، واندماجه فيها.</w:t>
            </w:r>
          </w:p>
          <w:p w:rsidR="00320D93" w:rsidRDefault="00320D93" w:rsidP="00320D93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828" w:hanging="54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التعرف على مشاكل ومعوقات السياحة </w:t>
            </w: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في المجتمعات المحلية </w:t>
            </w: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.</w:t>
            </w:r>
          </w:p>
          <w:p w:rsidR="00320D93" w:rsidRDefault="00320D93" w:rsidP="00320D93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288" w:firstLine="9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 w:rsidRPr="005C61CD"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 xml:space="preserve">التعرف </w:t>
            </w: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على بعض المشاريع ومدى نجاحها وكيفية تنفيذها.</w:t>
            </w:r>
          </w:p>
          <w:p w:rsidR="00320D93" w:rsidRPr="005C61CD" w:rsidRDefault="00320D93" w:rsidP="00320D93">
            <w:pPr>
              <w:pStyle w:val="ListParagraph"/>
              <w:numPr>
                <w:ilvl w:val="0"/>
                <w:numId w:val="3"/>
              </w:numPr>
              <w:tabs>
                <w:tab w:val="left" w:pos="288"/>
                <w:tab w:val="left" w:pos="558"/>
                <w:tab w:val="right" w:pos="648"/>
              </w:tabs>
              <w:autoSpaceDE w:val="0"/>
              <w:autoSpaceDN w:val="0"/>
              <w:adjustRightInd w:val="0"/>
              <w:spacing w:after="0" w:line="240" w:lineRule="auto"/>
              <w:ind w:left="288" w:firstLine="90"/>
              <w:jc w:val="both"/>
              <w:rPr>
                <w:rFonts w:ascii="Simplified Arabic" w:eastAsia="Times New Roman" w:hAnsi="Simplified Arabic" w:cs="Simplified Arabic"/>
                <w:lang w:val="en-GB" w:bidi="ar-JO"/>
              </w:rPr>
            </w:pPr>
            <w:r>
              <w:rPr>
                <w:rFonts w:ascii="Simplified Arabic" w:eastAsia="Times New Roman" w:hAnsi="Simplified Arabic" w:cs="Simplified Arabic" w:hint="cs"/>
                <w:rtl/>
                <w:lang w:val="en-GB" w:bidi="ar-JO"/>
              </w:rPr>
              <w:t>التعرف على نظريات التنمية.</w:t>
            </w:r>
          </w:p>
          <w:p w:rsidR="00320D93" w:rsidRPr="00B56D20" w:rsidRDefault="00320D93" w:rsidP="00E628A9">
            <w:pPr>
              <w:pStyle w:val="ps1Char"/>
              <w:rPr>
                <w:rtl/>
                <w:lang w:bidi="ar-JO"/>
              </w:rPr>
            </w:pPr>
            <w:r w:rsidRPr="00B56D20">
              <w:rPr>
                <w:rFonts w:hint="cs"/>
                <w:rtl/>
                <w:lang w:bidi="ar-JO"/>
              </w:rPr>
              <w:t>ب- نتاجات التعلّم: يتوقع من الطالب عند إنهاء المادة أن يكون قادراً على أن:</w:t>
            </w:r>
          </w:p>
          <w:p w:rsidR="00320D93" w:rsidRPr="00AD6D68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إلى مفهوم السياحة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320D93" w:rsidRPr="00AD6D68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يدرك الطالب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مدى أهمية الانخراط في السياحة وصناعتها بالنسبة للمجتمعات المحلية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320D93" w:rsidRPr="00AD6D68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أثر الصناعة السَّياحية على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المجتمعات المحلية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320D93" w:rsidRPr="00AD6D68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موارد السياحة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المتنوعة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 xml:space="preserve"> في الأردن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. </w:t>
            </w:r>
          </w:p>
          <w:p w:rsidR="00320D93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تحليل نوعية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التسهيلات المقدمة لتشجيع المجتمعات للانخراط في العمل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السياح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.</w:t>
            </w:r>
          </w:p>
          <w:p w:rsidR="00320D93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يتعرف على نظريات التنمية. </w:t>
            </w:r>
          </w:p>
          <w:p w:rsidR="00320D93" w:rsidRPr="00AD6D68" w:rsidRDefault="00320D93" w:rsidP="00320D93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التعرف على مشكلات السياحة.</w:t>
            </w:r>
          </w:p>
          <w:p w:rsidR="00320D93" w:rsidRPr="005C61CD" w:rsidRDefault="00320D93" w:rsidP="00E628A9">
            <w:pPr>
              <w:tabs>
                <w:tab w:val="left" w:pos="468"/>
              </w:tabs>
              <w:bidi/>
              <w:ind w:left="198"/>
              <w:jc w:val="lowKashida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320D93" w:rsidRPr="00B56D20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  <w:rtl/>
        </w:rPr>
      </w:pPr>
    </w:p>
    <w:p w:rsidR="00320D93" w:rsidRPr="00B56D20" w:rsidRDefault="00320D93" w:rsidP="00320D93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320D93" w:rsidRPr="00B56D20" w:rsidRDefault="00320D93" w:rsidP="00320D93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320D93" w:rsidRPr="00B56D20" w:rsidTr="00E628A9">
        <w:trPr>
          <w:trHeight w:val="14619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908"/>
              <w:gridCol w:w="1096"/>
              <w:gridCol w:w="2144"/>
              <w:gridCol w:w="860"/>
              <w:gridCol w:w="1660"/>
            </w:tblGrid>
            <w:tr w:rsidR="00320D93" w:rsidRPr="00B56D20" w:rsidTr="00E628A9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lastRenderedPageBreak/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أساليب</w:t>
                  </w:r>
                  <w:r w:rsidRPr="00133622">
                    <w:rPr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96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44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660" w:type="dxa"/>
                  <w:shd w:val="clear" w:color="auto" w:fill="auto"/>
                  <w:vAlign w:val="center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133622">
                    <w:rPr>
                      <w:rFonts w:hint="cs"/>
                      <w:rtl/>
                      <w:lang w:bidi="ar-JO"/>
                    </w:rPr>
                    <w:t>المحتوى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bidi/>
                    <w:ind w:left="342" w:hanging="270"/>
                    <w:jc w:val="both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133622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-  مقدمة عن المساق</w:t>
                  </w:r>
                </w:p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ind w:hanging="270"/>
                  </w:pPr>
                  <w:r w:rsidRPr="00133622">
                    <w:rPr>
                      <w:rFonts w:hint="cs"/>
                      <w:rtl/>
                    </w:rPr>
                    <w:t>-  تعريفات</w:t>
                  </w:r>
                </w:p>
              </w:tc>
            </w:tr>
            <w:tr w:rsidR="00320D93" w:rsidRPr="00B56D20" w:rsidTr="00E628A9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ListParagraph"/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72" w:hanging="72"/>
                    <w:jc w:val="both"/>
                    <w:rPr>
                      <w:rFonts w:ascii="Simplified Arabic" w:eastAsia="Times New Roman" w:hAnsi="Simplified Arabic" w:cs="Simplified Arabic"/>
                      <w:rtl/>
                      <w:lang w:val="en-GB"/>
                    </w:rPr>
                  </w:pPr>
                  <w:r w:rsidRPr="00133622">
                    <w:rPr>
                      <w:rFonts w:ascii="Simplified Arabic" w:eastAsia="Times New Roman" w:hAnsi="Simplified Arabic" w:cs="Simplified Arabic" w:hint="cs"/>
                      <w:rtl/>
                      <w:lang w:val="en-GB"/>
                    </w:rPr>
                    <w:t>مشكلات السياحة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ListParagraph"/>
                    <w:tabs>
                      <w:tab w:val="right" w:pos="0"/>
                      <w:tab w:val="right" w:pos="252"/>
                    </w:tabs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lang w:val="en-GB"/>
                    </w:rPr>
                  </w:pPr>
                  <w:r w:rsidRPr="00133622">
                    <w:rPr>
                      <w:rFonts w:ascii="Simplified Arabic" w:eastAsia="Times New Roman" w:hAnsi="Simplified Arabic" w:cs="Simplified Arabic" w:hint="cs"/>
                      <w:rtl/>
                      <w:lang w:val="en-GB"/>
                    </w:rPr>
                    <w:t xml:space="preserve">نظريات التنمية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ضانا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5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عجلون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6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>
                    <w:rPr>
                      <w:rFonts w:hint="cs"/>
                      <w:rtl/>
                      <w:lang w:bidi="ar-JO"/>
                    </w:rPr>
                    <w:t xml:space="preserve">وادي </w:t>
                  </w:r>
                  <w:r w:rsidRPr="00133622">
                    <w:rPr>
                      <w:rFonts w:hint="cs"/>
                      <w:rtl/>
                    </w:rPr>
                    <w:t xml:space="preserve">عربة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7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فينان +  وادي رم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8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مشروع القطاع السياحي</w:t>
                  </w:r>
                </w:p>
              </w:tc>
            </w:tr>
            <w:tr w:rsidR="00320D93" w:rsidRPr="00B56D20" w:rsidTr="00E628A9">
              <w:trPr>
                <w:trHeight w:val="932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9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الكرك نموذجا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 xml:space="preserve">مفهوم السياحة المحلية في الأردن 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 xml:space="preserve">11 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tl/>
                    </w:rPr>
                    <w:t>من المشاريع الخاصة للمستثمرين من المجتمع المحلي في القطاع السياحي: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مؤسسة نهر الأردن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3+4+5</w:t>
                  </w: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13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مهرجان جرش السياحي وعلاقته بالمجتمع المحلي</w:t>
                  </w:r>
                </w:p>
              </w:tc>
            </w:tr>
            <w:tr w:rsidR="00320D93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lastRenderedPageBreak/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  <w:r w:rsidRPr="00133622">
                    <w:rPr>
                      <w:rFonts w:hint="cs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96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</w:pPr>
                </w:p>
              </w:tc>
              <w:tc>
                <w:tcPr>
                  <w:tcW w:w="2144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1660" w:type="dxa"/>
                  <w:shd w:val="clear" w:color="auto" w:fill="auto"/>
                </w:tcPr>
                <w:p w:rsidR="00320D93" w:rsidRPr="00133622" w:rsidRDefault="00320D93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rtl/>
                    </w:rPr>
                  </w:pPr>
                  <w:r w:rsidRPr="00133622">
                    <w:rPr>
                      <w:rFonts w:hint="cs"/>
                      <w:rtl/>
                    </w:rPr>
                    <w:t>مراجعة</w:t>
                  </w:r>
                </w:p>
              </w:tc>
            </w:tr>
          </w:tbl>
          <w:p w:rsidR="00320D93" w:rsidRPr="00B56D20" w:rsidRDefault="00320D93" w:rsidP="00E628A9">
            <w:pPr>
              <w:tabs>
                <w:tab w:val="left" w:pos="7719"/>
              </w:tabs>
              <w:bidi/>
              <w:jc w:val="right"/>
            </w:pPr>
          </w:p>
          <w:p w:rsidR="00320D93" w:rsidRPr="00B56D20" w:rsidRDefault="00320D93" w:rsidP="00E628A9">
            <w:pPr>
              <w:tabs>
                <w:tab w:val="left" w:pos="6915"/>
              </w:tabs>
              <w:bidi/>
            </w:pPr>
          </w:p>
        </w:tc>
      </w:tr>
    </w:tbl>
    <w:p w:rsidR="00320D93" w:rsidRPr="00B56D20" w:rsidRDefault="00320D93" w:rsidP="00320D93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lastRenderedPageBreak/>
        <w:t>21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20D93" w:rsidRPr="00B56D20" w:rsidTr="00E628A9">
        <w:trPr>
          <w:trHeight w:val="1664"/>
        </w:trPr>
        <w:tc>
          <w:tcPr>
            <w:tcW w:w="10008" w:type="dxa"/>
          </w:tcPr>
          <w:p w:rsidR="00320D93" w:rsidRDefault="00320D93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320D93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320D93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320D93" w:rsidRPr="00B56D20" w:rsidRDefault="00320D93" w:rsidP="00E628A9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320D93" w:rsidRPr="00B56D20" w:rsidRDefault="00320D93" w:rsidP="00320D93">
      <w:pPr>
        <w:pStyle w:val="ps1Char"/>
      </w:pPr>
    </w:p>
    <w:p w:rsidR="00320D93" w:rsidRPr="00B56D20" w:rsidRDefault="00320D93" w:rsidP="00320D93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22. أساليب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20D93" w:rsidRPr="00B56D20" w:rsidTr="00E628A9">
        <w:tc>
          <w:tcPr>
            <w:tcW w:w="10008" w:type="dxa"/>
          </w:tcPr>
          <w:p w:rsidR="00320D93" w:rsidRPr="00B56D20" w:rsidRDefault="00320D93" w:rsidP="00E628A9">
            <w:pPr>
              <w:pStyle w:val="ps1Char"/>
            </w:pPr>
            <w:r w:rsidRPr="00B56D20">
              <w:rPr>
                <w:rFonts w:hint="cs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320D93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320D93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320D93" w:rsidRDefault="00320D93" w:rsidP="00E628A9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320D93" w:rsidRPr="00B56D20" w:rsidRDefault="00320D93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مجموعات، أو منفردة.</w:t>
            </w:r>
          </w:p>
        </w:tc>
      </w:tr>
    </w:tbl>
    <w:p w:rsidR="00320D93" w:rsidRPr="00B56D20" w:rsidRDefault="00320D93" w:rsidP="00320D93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20D93" w:rsidRPr="00B56D20" w:rsidTr="00E628A9">
        <w:tc>
          <w:tcPr>
            <w:tcW w:w="10008" w:type="dxa"/>
          </w:tcPr>
          <w:p w:rsidR="00320D93" w:rsidRDefault="00320D93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320D93" w:rsidRPr="00B56D20" w:rsidRDefault="00320D93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ب- الغياب عن الامتحان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320D93" w:rsidRPr="00B56D20" w:rsidRDefault="00320D93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 والصحة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320D93" w:rsidRPr="00B56D20" w:rsidRDefault="00320D93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320D93" w:rsidRPr="00B56D20" w:rsidRDefault="00320D93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320D93" w:rsidRPr="00B56D20" w:rsidRDefault="00320D93" w:rsidP="00E628A9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المتوفرة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320D93" w:rsidRPr="00B56D20" w:rsidRDefault="00320D93" w:rsidP="00320D93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20D93" w:rsidRPr="00B56D20" w:rsidTr="00E628A9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320D93" w:rsidRDefault="00320D93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320D93" w:rsidRDefault="00320D93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320D93" w:rsidRPr="00B56D20" w:rsidRDefault="00320D93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320D93" w:rsidRPr="00B56D20" w:rsidRDefault="00320D93" w:rsidP="00320D93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320D93" w:rsidRPr="00B56D20" w:rsidRDefault="00320D93" w:rsidP="00320D93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320D93" w:rsidRPr="00B56D20" w:rsidRDefault="00320D93" w:rsidP="00320D93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320D93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D93" w:rsidRDefault="00320D93" w:rsidP="00320D93">
            <w:pPr>
              <w:numPr>
                <w:ilvl w:val="0"/>
                <w:numId w:val="4"/>
              </w:numPr>
              <w:tabs>
                <w:tab w:val="left" w:pos="70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320D93" w:rsidRDefault="00320D93" w:rsidP="00320D93">
            <w:pPr>
              <w:numPr>
                <w:ilvl w:val="0"/>
                <w:numId w:val="6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مادة معدة من قبل المدرس توضع على الموقع الالكتروني.</w:t>
            </w:r>
          </w:p>
          <w:p w:rsidR="00320D93" w:rsidRDefault="00320D93" w:rsidP="00320D93">
            <w:pPr>
              <w:numPr>
                <w:ilvl w:val="0"/>
                <w:numId w:val="6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احصائيات وزاررة السياحة.</w:t>
            </w:r>
          </w:p>
          <w:p w:rsidR="00320D93" w:rsidRPr="00564FEB" w:rsidRDefault="00320D93" w:rsidP="00320D93">
            <w:pPr>
              <w:numPr>
                <w:ilvl w:val="0"/>
                <w:numId w:val="6"/>
              </w:numPr>
              <w:tabs>
                <w:tab w:val="left" w:pos="1242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احصاءيات ودراسات من مديرية التنمية المحلية في وزارة الداخلية عن المشاريع السياحة  المدعومة.</w:t>
            </w:r>
          </w:p>
          <w:p w:rsidR="00320D93" w:rsidRPr="00B56D20" w:rsidRDefault="00320D93" w:rsidP="00E628A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320D93" w:rsidRDefault="00320D93" w:rsidP="00320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lastRenderedPageBreak/>
              <w:t>موقع وزارة السياحة الالكتروني</w:t>
            </w:r>
          </w:p>
          <w:p w:rsidR="00320D93" w:rsidRDefault="00320D93" w:rsidP="00320D9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  <w:r>
              <w:rPr>
                <w:rFonts w:ascii="Simplified Arabic" w:hAnsi="Simplified Arabic" w:cs="Simplified Arabic" w:hint="cs"/>
                <w:rtl/>
              </w:rPr>
              <w:t>دراسات واحصائيات وزارة السياحة.</w:t>
            </w:r>
          </w:p>
          <w:p w:rsidR="00320D93" w:rsidRPr="00564FEB" w:rsidRDefault="00320D93" w:rsidP="00E628A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hAnsi="Simplified Arabic" w:cs="Simplified Arabic"/>
              </w:rPr>
            </w:pPr>
          </w:p>
        </w:tc>
      </w:tr>
    </w:tbl>
    <w:p w:rsidR="00320D93" w:rsidRPr="00B56D20" w:rsidRDefault="00320D93" w:rsidP="00320D93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lastRenderedPageBreak/>
        <w:t>.26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320D93" w:rsidRPr="00B56D20" w:rsidTr="00E628A9">
        <w:tc>
          <w:tcPr>
            <w:tcW w:w="10008" w:type="dxa"/>
          </w:tcPr>
          <w:p w:rsidR="00320D93" w:rsidRPr="00B56D20" w:rsidRDefault="00320D93" w:rsidP="00E628A9">
            <w:pPr>
              <w:bidi/>
            </w:pPr>
          </w:p>
          <w:p w:rsidR="00320D93" w:rsidRPr="00B56D20" w:rsidRDefault="00320D93" w:rsidP="00E628A9">
            <w:pPr>
              <w:bidi/>
            </w:pPr>
            <w:r>
              <w:rPr>
                <w:rFonts w:hint="cs"/>
                <w:rtl/>
              </w:rPr>
              <w:t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الدينية في الأردن .</w:t>
            </w:r>
          </w:p>
          <w:p w:rsidR="00320D93" w:rsidRPr="00B56D20" w:rsidRDefault="00320D93" w:rsidP="00E628A9">
            <w:pPr>
              <w:bidi/>
              <w:rPr>
                <w:lang w:val="en-US"/>
              </w:rPr>
            </w:pPr>
          </w:p>
        </w:tc>
      </w:tr>
    </w:tbl>
    <w:p w:rsidR="00320D93" w:rsidRPr="00B56D20" w:rsidRDefault="00320D93" w:rsidP="00320D93">
      <w:pPr>
        <w:bidi/>
        <w:jc w:val="right"/>
        <w:rPr>
          <w:rFonts w:ascii="Cambria" w:hAnsi="Cambria" w:cs="Arial"/>
          <w:sz w:val="22"/>
          <w:szCs w:val="22"/>
        </w:rPr>
      </w:pPr>
    </w:p>
    <w:p w:rsidR="00320D93" w:rsidRPr="00B56D20" w:rsidRDefault="00320D93" w:rsidP="00320D9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التاريخ: ---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320D93" w:rsidRPr="00B56D20" w:rsidRDefault="00320D93" w:rsidP="00320D9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320D93" w:rsidRPr="00B56D20" w:rsidRDefault="00320D93" w:rsidP="00320D93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320D93" w:rsidRPr="00B56D20" w:rsidRDefault="00320D93" w:rsidP="00320D93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p w:rsidR="006E41A1" w:rsidRDefault="006E41A1">
      <w:bookmarkStart w:id="0" w:name="_GoBack"/>
      <w:bookmarkEnd w:id="0"/>
    </w:p>
    <w:sectPr w:rsidR="006E41A1" w:rsidSect="00320D93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320D93" w:rsidP="00382671">
    <w:pPr>
      <w:pStyle w:val="Footer"/>
      <w:rPr>
        <w:rStyle w:val="PageNumber"/>
      </w:rPr>
    </w:pPr>
    <w:r>
      <w:t xml:space="preserve">        </w:t>
    </w:r>
  </w:p>
  <w:p w:rsidR="00332B9A" w:rsidRDefault="00320D93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320D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F081D" w:rsidRDefault="00320D93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0" w:rsidRPr="00F51120" w:rsidRDefault="00320D93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>
      <w:rPr>
        <w:rFonts w:ascii="Times New Roman" w:hAnsi="Times New Roman" w:cs="Arial" w:hint="cs"/>
        <w:rtl/>
      </w:rPr>
      <w:t>مخطط الماد</w:t>
    </w:r>
    <w:r>
      <w:rPr>
        <w:rFonts w:ascii="Times New Roman" w:hAnsi="Times New Roman" w:cs="Arial" w:hint="cs"/>
        <w:rtl/>
      </w:rPr>
      <w:t>ة</w:t>
    </w:r>
    <w:r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                      </w:t>
    </w:r>
    <w:r>
      <w:rPr>
        <w:rFonts w:ascii="Times New Roman" w:hAnsi="Times New Roman" w:cs="Arial" w:hint="cs"/>
        <w:rtl/>
      </w:rPr>
      <w:t>الجامعة الأردنية</w:t>
    </w:r>
  </w:p>
  <w:p w:rsidR="00CC4F1F" w:rsidRDefault="00320D93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320D93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320D93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320D93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مركز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320D93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320D93">
    <w:pPr>
      <w:pStyle w:val="Header"/>
      <w:jc w:val="right"/>
      <w:rPr>
        <w:b/>
        <w:sz w:val="28"/>
      </w:rPr>
    </w:pPr>
  </w:p>
  <w:p w:rsidR="005225C7" w:rsidRDefault="00320D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379C1401"/>
    <w:multiLevelType w:val="hybridMultilevel"/>
    <w:tmpl w:val="192E6BDA"/>
    <w:lvl w:ilvl="0" w:tplc="9514B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F08A9"/>
    <w:multiLevelType w:val="hybridMultilevel"/>
    <w:tmpl w:val="AFF008A0"/>
    <w:lvl w:ilvl="0" w:tplc="5DE811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4" w15:restartNumberingAfterBreak="0">
    <w:nsid w:val="6B927FB6"/>
    <w:multiLevelType w:val="hybridMultilevel"/>
    <w:tmpl w:val="F7F626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F7"/>
    <w:rsid w:val="00216CF7"/>
    <w:rsid w:val="00320D93"/>
    <w:rsid w:val="006E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CB35E-760E-45B2-A2D9-2AE1A15D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93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320D93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20D93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320D93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320D93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20D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D93"/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320D93"/>
  </w:style>
  <w:style w:type="paragraph" w:customStyle="1" w:styleId="ps2">
    <w:name w:val="ps2"/>
    <w:basedOn w:val="Normal"/>
    <w:rsid w:val="00320D9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320D93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320D93"/>
    <w:pPr>
      <w:numPr>
        <w:numId w:val="1"/>
      </w:numPr>
    </w:pPr>
  </w:style>
  <w:style w:type="character" w:customStyle="1" w:styleId="ps1CharChar">
    <w:name w:val="ps1 Char Char"/>
    <w:link w:val="ps1Char"/>
    <w:rsid w:val="00320D93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320D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D93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556591-6E0F-478D-8BB2-8D2237F92A44}"/>
</file>

<file path=customXml/itemProps2.xml><?xml version="1.0" encoding="utf-8"?>
<ds:datastoreItem xmlns:ds="http://schemas.openxmlformats.org/officeDocument/2006/customXml" ds:itemID="{59E325C3-0EB3-48D7-BFC7-16A20843F7A1}"/>
</file>

<file path=customXml/itemProps3.xml><?xml version="1.0" encoding="utf-8"?>
<ds:datastoreItem xmlns:ds="http://schemas.openxmlformats.org/officeDocument/2006/customXml" ds:itemID="{31EB20FB-5D0F-46BD-8D76-AD757EA0B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1011</Words>
  <Characters>5766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shadina alqady</dc:creator>
  <cp:keywords/>
  <dc:description/>
  <cp:lastModifiedBy>shadina alqady</cp:lastModifiedBy>
  <cp:revision>2</cp:revision>
  <dcterms:created xsi:type="dcterms:W3CDTF">2020-02-17T09:19:00Z</dcterms:created>
  <dcterms:modified xsi:type="dcterms:W3CDTF">2020-02-17T09:19:00Z</dcterms:modified>
</cp:coreProperties>
</file>